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Главным врачом ФБУЗ «Центр гигиены и эпидемиологии» было оформлено и подано в Росаакредитацию заявление на аккредитацию санитарно - гигиенической лаборатории.</w:t>
      </w:r>
    </w:p>
    <w:p>
      <w:pPr>
        <w:spacing w:after="58"/>
      </w:pPr>
      <w:r>
        <w:rPr>
          <w:b w:val="0"/>
          <w:i w:val="0"/>
        </w:rPr>
        <w:t>Вы – врач по санитарно-гигиеническим лабораторным исследованиям, на которого возложена функция заведующего испытательной лабораторией. Вам необходимо организовать подготовку лаборатории к выездной экспертизе испытательной лаборатории для процедуры аккредитации.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Целью выездной проверки при проведении процедуры аккредитации испытательной лаборатории является установление соответствия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испытательной лаборатории критериям аккредитации и требованиям ГОСТ ISO/IEC 17025 в заявленной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испытательной лаборатории целям политики в области качества и руководства по качеству, разработанным испытательной лабораторией самостоятельно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системы менеджмента качества испытательной лаборатории требованиям ГОСТ ИСО/МЭК 17025 в заявленной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проведения исследований (испытаний), измерений в испытательной лаборатории заявленной области аккредитации и требованиям ГОСТ ИСО/МЭК 17025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испытательной лаборатории критериям аккредитации и требованиям ГОСТ ISO/IEC 17025 в заявленной области аккредитации</w:t>
      </w:r>
    </w:p>
    <w:p>
      <w:pPr>
        <w:ind w:left="504"/>
      </w:pPr>
      <w:r>
        <w:rPr>
          <w:b w:val="0"/>
          <w:i/>
        </w:rPr>
        <w:t>Приложение 2 Типовая программа выездной оценки соответствия испытательной лаборатории критериям аккредитации</w:t>
        <w:br/>
        <w:br/>
        <w:t>Целью выездной оценки является установление соответствия испытательной лаборатории (далее ИЛ) критериям аккредитации, утвержденным приказом Минэкономразвития России от 30 мая 2014 года №326 (далее критерии аккредитации), требованиям ГОСТ ISO/IEC 17025-2019 «Общие требования к компетентности испытательных и калибровочных лабораторий» (далее ГОСТ ISO/IEC 17025).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Перечень работ в ходе выездной экспертизы испытательной лаборатории с целью аккредитации лаборатории, выполняемой экспертной группой, включает оценку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а) системы менеджмента качества, а также соблюдения при осуществлении деятельности требований системы менеджмента качества</w:t>
        <w:br/>
        <w:br/>
        <w:t>б) материально-технической базы</w:t>
        <w:br/>
        <w:br/>
        <w:t>в) квалификации и опыта работников</w:t>
        <w:br/>
        <w:br/>
        <w:t>г) обеспеченности необходимой документацией</w:t>
        <w:br/>
        <w:br/>
        <w:t>д) хода выполнения работ в соответствии с заявленной областью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а) документации системы менеджмента качества, а также документированных процедур</w:t>
        <w:br/>
        <w:br/>
        <w:t>б) сведений о праве собственности на помещения лаборатории</w:t>
        <w:br/>
        <w:br/>
        <w:t>в) сведений о поверке лабораторного оборудования и его технического обслуживания</w:t>
        <w:br/>
        <w:br/>
        <w:t>г) должностных инструкций работников</w:t>
        <w:br/>
        <w:br/>
        <w:t>д) программы внутреннего аудита испытательной лаборатории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а) соблюдения при осуществлении деятельности требований системы менеджмента качества</w:t>
        <w:br/>
        <w:br/>
        <w:t>б) сведений о государственной регистрации права собственности на помещения</w:t>
        <w:br/>
        <w:br/>
        <w:t>в) трудовых книжек работников</w:t>
        <w:br/>
        <w:br/>
        <w:t>г) протоколов результатов исследований, испытаний, измерений</w:t>
        <w:br/>
        <w:br/>
        <w:t>д) руководства по качеству и документации системы менеджмента качества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а) области аккредитации, а также соблюдения при осуществлении деятельности требований системы менеджмента качества</w:t>
        <w:br/>
        <w:br/>
        <w:t>б) планов помещений и размещения лабораторного оборудования</w:t>
        <w:br/>
        <w:br/>
        <w:t>в) сведений о профильном образовании работников</w:t>
        <w:br/>
        <w:br/>
        <w:t>г) документированных процедур и информации</w:t>
        <w:br/>
        <w:br/>
        <w:t>д) хода выполнения работ в соответствии с контрольными заданиями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а) системы менеджмента качества, а также соблюдения при осуществлении деятельности требований системы менеджмента качества</w:t>
        <w:br/>
        <w:br/>
        <w:t>б) материально-технической базы</w:t>
        <w:br/>
        <w:br/>
        <w:t>в) квалификации и опыта работников</w:t>
        <w:br/>
        <w:br/>
        <w:t>г) обеспеченности необходимой документацией</w:t>
        <w:br/>
        <w:br/>
        <w:t>д) хода выполнения работ в соответствии с заявленной областью аккредитации</w:t>
      </w:r>
    </w:p>
    <w:p>
      <w:pPr>
        <w:ind w:left="504"/>
      </w:pPr>
      <w:r>
        <w:rPr>
          <w:b w:val="0"/>
          <w:i/>
        </w:rPr>
        <w:t>П.3. 1) перечень работ по проведению выездной экспертизы соответствия аккредитованного лица критериям аккредитации, выполняемой экспертной группой и определяемый с учетом области аккредитации и места или мест осуществления деятельности в области аккредитации, выявленных ранее факто нарушений требований законодательства Российской Федерации к деятельности аккредитованного лица, результатов анализа сведений о результатах деятельности аккредитованного лица. Представленных аккредитованным лицом в соответствии с частью 1 статьи 13 Федерального закона №412-ФЗ, а именно:</w:t>
        <w:br/>
        <w:br/>
        <w:t>а) оценку системы менеджмента качества аккредитованного лица, а также соблюдения при осуществлении деятельности требований системы менеджмента качества;</w:t>
        <w:br/>
        <w:br/>
        <w:t>б) материально- технической базы аккредитованного лица;</w:t>
        <w:br/>
        <w:br/>
        <w:t>в) квалификации и опыта работников аккредитованного лица;</w:t>
        <w:br/>
        <w:br/>
        <w:t>г) обеспеченности необходимой документацией;</w:t>
        <w:br/>
        <w:br/>
        <w:t>д) наблюдение за ходом выполнения работ в соответствии с заявленной областью аккредитации.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Экспертная группа при проведении выездной проверки испытательной лаборатории с целью аккредитации лаборатории выполняет работы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А) ознакомлению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наблюдению за ходом выполнения работ в соответствии с контрольными заданиями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А) оценке документов и (или) сведений, представленных лабораторией,</w:t>
        <w:br/>
        <w:br/>
        <w:t>Б) проверке проведения лабораторией исследований, испытаний, измерений в соответствии с установленной областью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проверке проведения лабораторией мероприятий по своевременному извещению Росаккредитации о возможных изменениях, связанных с деятельностью лаборатории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оценке устранения несоответствий, выявленных при экспертизе документов, представленных лабораторией в Росаккредитацию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оценке устранения несоответствий, выявленных при экспертизе документов, представленных лабораторией в Росаккредитацию</w:t>
      </w:r>
    </w:p>
    <w:p>
      <w:pPr>
        <w:ind w:left="504"/>
      </w:pPr>
      <w:r>
        <w:rPr>
          <w:b w:val="0"/>
          <w:i/>
        </w:rPr>
        <w:t>Приложение 2</w:t>
        <w:br/>
        <w:br/>
        <w:t>* Перечень работ по проведению выездной экспертизы соответствия заявителя критериям аккредитации, выполняемой экспертной группой.</w:t>
        <w:br/>
        <w:br/>
        <w:t>* Проведение вступительного совещания с целью ознакомления заявителя с планом проведения выездной экспертизы соответствия заявителя критериям аккредитации, разъяснение заявителю программы выездной оценки.</w:t>
        <w:br/>
        <w:br/>
        <w:t>Оценка устранения заявителем несоответствий, выявленных при экспертизе документов и (или) сведений, представленных заявителем, подтверждающих соответствие критериям аккредитации ( в случае наличия несоответствий)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Оценка системы менеджмента качества испытательной лаборатории, а также соблюдения при осуществлении деятельности требований системы менеджмента качества в ходе выездной проверки с целью аккредитации лаборатории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экспертизу области аккредитации, а также соблюдения требований системы менеджмента качества при осуществлении деятельности, сведений о наличии помещений и размещения лабораторного оборудования, сведений о профильном образовании работников, содержания документированных процедур и информации, наблюдение за ходом выполнения работ в соответствии с контрольными заданиями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подтверждение наличия системы менеджмента качества, установленной в руководстве по качеству, оформленном в виде единого документа либо совокупности документов, и соблюдение в деятельности испытательной лаборатории, в том числе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документации системы менеджмента качества, а также документированных процедур, экспертизу сведений о праве собственности на помещения лаборатории, сведений о поверке лабораторного оборудования и его технического обслуживания, должностных инструкций работников, программы внутреннего аудита испытательной лаборатории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изучение документации системы менеджмента качества, сведений о материально- технической базе испытательной лаборатории, квалификации и опыте работников, проверку обеспеченности необходимой документацией, наблюдение за ходом выполнения работ в соответствии с заявленной областью аккредитации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подтверждение наличия системы менеджмента качества, установленной в руководстве по качеству, оформленном в виде единого документа либо совокупности документов, и соблюдение в деятельности испытательной лаборатории, в том числе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</w:t>
      </w:r>
    </w:p>
    <w:p>
      <w:pPr>
        <w:ind w:left="504"/>
      </w:pPr>
      <w:r>
        <w:rPr>
          <w:b w:val="0"/>
          <w:i/>
        </w:rPr>
        <w:t>2.1. Подтверждение наличия системы менеджмента качества, установленной в руководстве по качеству, оформленном в виде единого документа, либо совокупности документов в соответствии с пунктом 23 критериев аккредитации и ГОСТ ИСО/МЭК 17025-2009.</w:t>
        <w:br/>
        <w:br/>
        <w:t>2.2.Оценка соблюдения в деятельности испытательной лаборатории, в том числе оценка соблюдения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 в соответствии с пунктом 23 критериев аккредитации и ГОСТ ИСО/МЭК 17025-2009.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системы менеджмента качества в ходе выездной проверки с целью аккредитации лаборатории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документы системы менеджмента качества, нормативные правовые акты, документы в области стандартизации, документы, устанавливающие требования к деятельности испытательной лаборатории в соответствии с областью аккредитации и иные документы, необходимые для оценки обеспеченности заявителя необходимой документацией в части выявленных несоответствий за проверяемый период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руководство по качеству, документы, подтверждающие право собственности или иное законное основание, предусматривающее право владения и пользования, в том числе первичные (основные) документы (в случае если документы, подтверждающие законное основание, предусматривающее право владения и пользования, являются производными от первичных (основных) документов)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документы, подтверждающие наличие, внедрение и соблюдение требований системы менеджмента качества, 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ind w:left="504"/>
      </w:pPr>
      <w:r>
        <w:rPr>
          <w:b w:val="0"/>
          <w:i/>
        </w:rPr>
        <w:t>П.2. Приложения 2 Исходные материалы, факты, наблюдения: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материально-технической базы в ходе выездной проверки с целью аккредитации лаборатории являются документы, подтверждающие право собственности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помещения и средства измерения, результаты проводимых исследований (испытаний),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или иное законное основание, предусматривающее право владения и пользования помещениями и оборудованием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или иное законное основание, предусматривающее право аренды помещений и оборудования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или иное законное основание, предусматривающее право приобретения в собственность помещений и оборудования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или иное законное основание, предусматривающее право владения и пользования помещениями и оборудованием</w:t>
      </w:r>
    </w:p>
    <w:p>
      <w:pPr>
        <w:ind w:left="504"/>
      </w:pPr>
      <w:r>
        <w:rPr>
          <w:b w:val="0"/>
          <w:i/>
        </w:rPr>
        <w:t>П.3. Приложение 2 Исходные материалы, факты, наблюдения: документы, подтверждающие право собственности или иное законное основание, предусматривающее право владения и пользования, в том числе первичные (основные) документы (в случае если документы, подтверждающие законное основание, предусматривающее право владения и пользования, являются производными от первичных (основных) документов).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квалификации и опыта работников испытательной лаборатории в ходе выездной проверки с целью аккредитации лаборатории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документы, удостоверяющие личность работников, документы системы менеджмента качества, нормативные правовые акты, документы в области стандартизации, документы, устанавливающие требования к деятельности испытательной лаборатории в соответствии с областью аккредитации и иные документы, необходимые для оценки обеспеченности заявителя необходимой документацией в части выявленных несоответствий за проверяемый период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</w:t>
      </w:r>
    </w:p>
    <w:p>
      <w:pPr>
        <w:ind w:left="504"/>
      </w:pPr>
      <w:r>
        <w:rPr>
          <w:b w:val="0"/>
          <w:i/>
        </w:rPr>
        <w:t>П. 5 Приложения 2 Исходные материалы, факты, наблюдения: документы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аккредитации, иные документы, подтверждающие соответствие критериям аккредитации.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Наблюдение за выполнением работ в соответствии с областью аккредитации в ходе выездной проверки с целью аккредитации лаборатории включает оценку наличия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поверенных средств измерений, инструкций по безопасному использованию лабораторного оборудования, холодильного оборудования для хранения реактивов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лабораторного оборудования, химических реактивов, расходных материалов, методик проведения исследований (испытаний) и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 работников, участвующих в выполнении работ по исследованиям (испытаниям) и измерениям, навыков и профессиональных знаний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безопасных условий труда персонала лаборатории, аптечки первой помощи, инструкции по оказанию первой помощи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 работников, участвующих в выполнении работ по исследованиям (испытаниям) и измерениям, навыков и профессиональных знаний</w:t>
      </w:r>
    </w:p>
    <w:p>
      <w:pPr>
        <w:ind w:left="504"/>
      </w:pPr>
      <w:r>
        <w:rPr>
          <w:b w:val="0"/>
          <w:i/>
        </w:rPr>
        <w:t>П.6. Приложения 2 Наблюдение за выполнением аккредитованным лицом работ в соответствии с областью аккредитации.</w:t>
        <w:br/>
        <w:br/>
        <w:t>Оценка наличия у работников аккредитованного лица, участвующих в выполнении работ по исследованиям (испытаниям) и измерениям навыков и профессиональных знаний, необходимых для выполнения работ в области аккредитации, осуществляется в соответствии с пунктом 20 критериев аккредитации по местам осуществления деятельности в соответствии с областью аккредитации.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Оценка наблюдения экспертной группой за выполнением испытательной лабораторией работ по исследованиям (испытаниям) и измерениям проводится путем анализа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результатов межлабораторных сличительных исследований (испытаний) и измерений, проводимых в присутствии экспертной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документов и записей, оформленных по результатам проведенных контрольных испытаний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ведения записей в рабочих журналах при проведении исследований (испытаний) и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документов и записей, оформленных по результатам проведенных параллельных исследований (испытаний) и измерений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документов и записей, оформленных по результатам проведенных контрольных испытаний</w:t>
      </w:r>
    </w:p>
    <w:p>
      <w:pPr>
        <w:ind w:left="504"/>
      </w:pPr>
      <w:r>
        <w:rPr>
          <w:b w:val="0"/>
          <w:i/>
        </w:rPr>
        <w:t>П.6. Приложения 2 (2-й абзац) Оценка проводится путем наблюдения экспертной группой за выполнением испытательной лабораторией работ по исследованиям (испытаниям) и измерениям в области аккредитации (контрольные испытания), в том числе путем анализа экспертной группой документов и записей, оформленных по результатам проведенных контрольных испытаний.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Материалами, по которым проводится оценка заявленной области аккредитации экспертной группой в ходе выездной проверки с целью аккредитации лаборатории, являются документы, подтверждающие соответствие критериям аккредитации,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заявленная область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область аккредитации, заявленная на сокращение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утвержденная область аккредитации по новому месту (местам) осуществления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область аккредитации, заявленная на расширение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заявленная область аккредитации</w:t>
      </w:r>
    </w:p>
    <w:p>
      <w:pPr>
        <w:ind w:left="504"/>
      </w:pPr>
      <w:r>
        <w:rPr>
          <w:b w:val="0"/>
          <w:i/>
        </w:rPr>
        <w:t>П.7 Приложения 2 Оценка области аккредитации</w:t>
        <w:br/>
        <w:br/>
        <w:t>Исходные материалы, факты, наблюдения: утвержденная заявленная область аккредитации, документы подтверждающие соответствие критериям аккредитации.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Экспертная группа при оформлении результатов выездной экспертизы с целью аккредитации лаборатории должна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подтверждение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требованиям руководства по качеству, оформить результаты, включая перечень несоответствий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оформить акт по результатам проверки,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ind w:left="504"/>
      </w:pPr>
      <w:r>
        <w:rPr>
          <w:b w:val="0"/>
          <w:i/>
        </w:rPr>
        <w:t>П.8 Приложения 2 Оформление результатов выездной экспертизы экспертной группой.</w:t>
        <w:br/>
        <w:br/>
        <w:t>8.1. Проведение заключительного совещания, обобщение экспертной группой результатов выездной экспертизы соответствия аккредитованного лица критериям аккредитации и оформление результатов выездной экспертизы, включая перечень несоответствий критериям аккредитации (при наличии).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Акт выездной экспертизы оценки испытательной лаборатории на подтверждение компетентности оформляется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экземплярах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экземпляре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экземплярах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 экземплярах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 экземплярах</w:t>
      </w:r>
    </w:p>
    <w:p>
      <w:pPr>
        <w:ind w:left="504"/>
      </w:pPr>
      <w:r>
        <w:rPr>
          <w:b w:val="0"/>
          <w:i/>
        </w:rPr>
        <w:t>П.8 Приложения 2 Оформление результатов выездной экспертизы экспертной группой.</w:t>
        <w:br/>
        <w:br/>
        <w:t>8.2. Составление акта экспертизы в 2-х экземплярах по форме и с указанием сведений, установленных приказом Минэкономразвития России № 284.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врач по общей гигиене. Вам поручено подготовить информацию для проведения занятий по профессиональной гигиенической подготовке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 о требованиях к пищевой продукции в соответствии с положениями ТР ТС 021/2011 «О безопасности пищевой продукции».</w:t>
      </w:r>
    </w:p>
    <w:p>
      <w:pPr>
        <w:pStyle w:val="Heading2"/>
      </w:pPr>
      <w:r>
        <w:t>1.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Показатели безопасности пищевой продукции регламентированы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 ТС 021/2011 Техническим регламентом Таможенного союза «О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Федеральным законом №52-ФЗ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Федеральным законом №29-ФЗ «О качестве и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 ТС 021/2011 Техническим регламентом Таможенного союза «О безопасности пищевой продукции»</w:t>
      </w:r>
    </w:p>
    <w:p>
      <w:pPr>
        <w:ind w:left="504"/>
      </w:pPr>
      <w:r>
        <w:rPr>
          <w:b w:val="0"/>
          <w:i/>
        </w:rPr>
        <w:t>Показатели безопасности пищевой продукции регламентированы ТР ТС 021/2011 Технический регламент Таможенного союза «О безопасности пищевой продукции» п.1.1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Под безопасностью пищевой продукции понимают состояние пищевой продукции, свидетельствующее о/об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соответствии основным потребительским свойствам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отсутствии видимых признаков порчи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готовности ее употребления без дополнительной обработки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отсутствии недопустимого риска, связанного с вредным воздействием на человека и будущие поколения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отсутствии недопустимого риска, связанного с вредным воздействием на человека и будущие поколения</w:t>
      </w:r>
    </w:p>
    <w:p>
      <w:pPr>
        <w:ind w:left="504"/>
      </w:pPr>
      <w:r>
        <w:rPr>
          <w:b w:val="0"/>
          <w:i/>
        </w:rPr>
        <w:t>Безопасность пищевой продукции - состояние пищевой продукции, свидетельствующее об отсутствии недопустимого риска, связанного с вредным воздействием на человека и будущие поколения (ТР ТС 021/2011 Технический регламент Таможенного союза «О безопасности пищевой продукции», ст. 4)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пищевая продукция, за исключением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специализированной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растительного сырья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обезжиренной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пищевой продукции с низкими потребительскими свойствами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специализированной пищевой продукции</w:t>
      </w:r>
    </w:p>
    <w:p>
      <w:pPr>
        <w:ind w:left="504"/>
      </w:pPr>
      <w:r>
        <w:rPr>
          <w:b w:val="0"/>
          <w:i/>
        </w:rPr>
        <w:t>Декларированию соответствия подлежит выпускаемая в обращение на таможенной территории Таможенного союза пищевая продукция, за исключением специализированной пищевой продукции (ТР ТС 021/2011 Технический регламент Таможенного союза «О безопасности пищевой продукции» ст.23 п.1)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Ингредиентом, который не должна содержать пищевая продукция, предназначенная для детского питания,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кофе натуральный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кофе натуральный</w:t>
      </w:r>
    </w:p>
    <w:p>
      <w:pPr>
        <w:ind w:left="504"/>
      </w:pPr>
      <w:r>
        <w:rPr>
          <w:b w:val="0"/>
          <w:i/>
        </w:rPr>
        <w:t>Ингредиентом, который не должна содержать пищевая продукция, предназначенная для детского питания, является кофе натуральный.</w:t>
        <w:br/>
        <w:br/>
        <w:t>Согласно ст. 8 ТР ТС 021/2011 Технический регламент Таможенного союза «О безопасности пищевой продукции»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Формирование технической документации на пищевую продукцию и проведение ее анализа проводит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управление Роспотребнадзора в субъекте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ФБУЗ «ЦГиЭ» в субъекте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аккредитованная лаборатория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заявитель</w:t>
      </w:r>
    </w:p>
    <w:p>
      <w:pPr>
        <w:ind w:left="504"/>
      </w:pPr>
      <w:r>
        <w:rPr>
          <w:b w:val="0"/>
          <w:i/>
        </w:rPr>
        <w:t>Формирование технической документации на пищевую продукцию и проведение ее анализа проводит заявитель (ТР ТС 021/2011 Технический регламент Таможенного союза «О безопасности пищевой продукции» ст.23 п.2.2.)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состав тонизирующих безалкогольных напитков допускается вводить не более _____ тонизирующих (его) веществ 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В состав тонизирующих безалкогольных напитков допускается вводить не более 2 тонизирующих веществ. Согласно ст. 9 ТР ТС 021/2011 Технический регламент Таможенного союза «О безопасности пищевой продукции»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Санитарно-эпидемиологические экспертизы, расследования, обследования, исследования, испытания и иные виды оценок для получения санитарно-эпидемиологического заключения осуществляются за счет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бюджета субъекта РФ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бюджета муниципальных образований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федерального бюджета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заявителя</w:t>
      </w:r>
    </w:p>
    <w:p>
      <w:pPr>
        <w:ind w:left="504"/>
      </w:pPr>
      <w:r>
        <w:rPr>
          <w:b w:val="0"/>
          <w:i/>
        </w:rPr>
        <w:t>Услуги, которые являются необходимыми и обязательными для предоставления государственной услуги, оказываются за счет средств заявителя.</w:t>
        <w:br/>
        <w:br/>
        <w:t>Приказ Роспотребнадзора от 05 ноября 2020 г. № 747. 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требований.Порядок,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платы.  п. 28. Услуги, которые являются необходимыми и обязательными для предоставления государственной услуги,оказываются за счет средств заявителя; п. 26. Услугами, необходимыми и обязательными для предоставления государственной услуги, являются санитарно-эпидемиологические экспертизы, расследования, обследования, исследования, испытания и иные виды оценок соблюдения санитарно-эпидемиологических и гигиенических требований, проводимые в соответствии со статьей 42 Закона 52-ФЗ.</w:t>
        <w:br/>
        <w:br/>
      </w:r>
      <w:hyperlink r:id="rId31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ОТ 5 НОЯБРЯ 2020 ГОДА N 747 Об утверждении административного регламента федеральной службы по надзору в сфере защиты прав потребителей и благополучия человека по предоставлению государственной услуги по выдаче санитарно-эпидемиологических заключений на основании результатов санитарно-эпидемиологических экспертиз, расследований, обследований, исследований, испытаний, токсикологических, гигиенических и иных видов оценок соблюдения санитарно-эпидемиологических и гигиенических требований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Декларированию соответствия подлежит выпускаемая в обращение на таможенной территории Таможенного союза группа пищевой продукции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уксус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непереработанная животного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переработанная растительного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специализированная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переработанная растительного происхождения</w:t>
      </w:r>
    </w:p>
    <w:p>
      <w:pPr>
        <w:ind w:left="504"/>
      </w:pPr>
      <w:r>
        <w:rPr>
          <w:b w:val="0"/>
          <w:i/>
        </w:rPr>
        <w:t>Декларированию соответствия подлежит выпускаемая в обращение на таможенной территории Таможенного союза группа пищевой продукции – переработанная растительного происхождения.</w:t>
        <w:br/>
        <w:br/>
        <w:t>Согласно ст. 23 ТР ТС 021/2011 Технический регламент Таможенного союза «О безопасности пищевой продукции»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соответствии с требованиями ТР ТС 021/2011 «О безопасности пищевой продукции» выделено +________+ схемы/схем декларирования пищевой продукции, по выбору заявителя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</w:t>
      </w:r>
    </w:p>
    <w:p>
      <w:pPr>
        <w:ind w:left="504"/>
      </w:pPr>
      <w:r>
        <w:rPr>
          <w:b w:val="0"/>
          <w:i/>
        </w:rPr>
        <w:t>В соответствии с требованиями ТР ТС 021/2011 «О безопасности пищевой продукции» выделено 3 схемы декларирования пищевой продукции, по выбору заявителя. Согласно ст. 23 ТР ТС 021/2011 Технический регламент Таможенного союза «О безопасности пищевой продукции»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Проведение производственного контроля на объектах пищевой промышленности обеспечивает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Роспотребнадзор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ФБУЗ «Центр гигиены и эпидемиологии»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прокуратура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заявитель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заявитель</w:t>
      </w:r>
    </w:p>
    <w:p>
      <w:pPr>
        <w:ind w:left="504"/>
      </w:pPr>
      <w:r>
        <w:rPr>
          <w:b w:val="0"/>
          <w:i/>
        </w:rPr>
        <w:t>Проведение производственного контроля на объектах пищевой промышленности обеспечивает заявитель. Согласно ст. 23 ТР ТС 021/2011 Технический регламент Таможенного союза «О безопасности пищевой продукции»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ХАССП, в соответствии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Федеральным законом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 ТС 021/2011 «О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Приказом Роспотребнадзора от 19 июля 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 ТС 021/2011 «О безопасности пищевой продукции»</w:t>
      </w:r>
    </w:p>
    <w:p>
      <w:pPr>
        <w:ind w:left="504"/>
      </w:pPr>
      <w:r>
        <w:rPr>
          <w:b w:val="0"/>
          <w:i/>
        </w:rPr>
        <w:t>В соответствии с ТР ТС 021/2011 «О безопасности пищевой продукции» при осуществлении процессов производства (изготовления) пищевой продукции, связанных с требованиями безопасности такой продукции, изготовитель должен разработать, внедрить и поддерживать процедуры, основанные на принципах ХАССП (ст.10.п.2)</w:t>
        <w:br/>
        <w:br/>
      </w:r>
      <w:hyperlink r:id="rId23">
        <w:r>
          <w:rPr>
            <w:color w:val="173C49"/>
            <w:u w:val="single"/>
          </w:rPr>
          <w:t>ТЕХНИЧЕСКИЙ РЕГЛАМЕНТ ТАМОЖЕННОГО СОЮЗА ТР ТС 021/2011 О БЕЗОПАСНОСТИ ПИЩЕВОЙ ПРОДУКЦИИ (с изменениями на 25 ноября 2022 года)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Основой для формирования национальной системы управления качеством пищевой продукции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Стратегия повышения качества пищевой продукции в Российской Федерации до 2030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Федеральный закон №29-ФЗ «О качестве и безопасности пищевой продукции»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Федеральный закон № 52-ФЗ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 ТС 021/2011 «О безопасности пищевой продукции»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Стратегия повышения качества пищевой продукции в Российской Федерации до 2030 года</w:t>
      </w:r>
    </w:p>
    <w:p>
      <w:pPr>
        <w:ind w:left="504"/>
      </w:pPr>
      <w:r>
        <w:rPr>
          <w:b w:val="0"/>
          <w:i/>
        </w:rPr>
        <w:t>«Стратегия повышения качества пищевой продукции в Российской Федерации до 2030 года» является основой для формирования национальной системы управления качеством пищевой продукции является (ст.1)</w:t>
        <w:br/>
        <w:br/>
      </w:r>
      <w:hyperlink r:id="rId36">
        <w:r>
          <w:rPr>
            <w:color w:val="173C49"/>
            <w:u w:val="single"/>
          </w:rPr>
          <w:t>РАСПОРЯЖЕНИЕ ОТ 29 ИЮНЯ 2016 ГОДА N 1364-Р [ОБ УТВЕРЖДЕНИИ СТРАТЕГИИ ПОВЫШЕНИЯ КАЧЕСТВА ПИЩЕВОЙ ПРОДУКЦИИ В РОССИЙСКОЙ ФЕДЕРАЦИИ ДО 2030 ГОДА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tp_cshhh/" TargetMode="External"/><Relationship Id="rId24" Type="http://schemas.openxmlformats.org/officeDocument/2006/relationships/hyperlink" Target="https://library.mededtech.ru/rest/documents/tp_cshhh/#list_item_81hamj" TargetMode="External"/><Relationship Id="rId25" Type="http://schemas.openxmlformats.org/officeDocument/2006/relationships/hyperlink" Target="https://library.mededtech.ru/rest/documents/tp_cshhh/#list_item_4gb4os" TargetMode="External"/><Relationship Id="rId26" Type="http://schemas.openxmlformats.org/officeDocument/2006/relationships/hyperlink" Target="https://library.mededtech.ru/rest/documents/tp_cshhh/#list_item_52q3q3" TargetMode="External"/><Relationship Id="rId27" Type="http://schemas.openxmlformats.org/officeDocument/2006/relationships/hyperlink" Target="https://library.mededtech.ru/rest/documents/tp_cshhh/#list_item_a3e3rr" TargetMode="External"/><Relationship Id="rId28" Type="http://schemas.openxmlformats.org/officeDocument/2006/relationships/hyperlink" Target="https://library.mededtech.ru/rest/documents/tp_cshhh/#&#1057;&#1058;&#1040;&#1058;&#1068;&#1071;_23_&#1044;&#1045;&#1050;&#1051;&#1040;&#1056;&#1048;&#1056;&#1054;&#1042;&#1040;&#1053;&#1048;&#1045;_&#1057;&#1054;&#1054;&#1058;&#1042;&#1045;&#1058;&#1057;&#1058;&#1042;&#1048;&#1071;" TargetMode="External"/><Relationship Id="rId29" Type="http://schemas.openxmlformats.org/officeDocument/2006/relationships/hyperlink" Target="https://library.mededtech.ru/rest/documents/tp_cshhh/#list_item_c63ukk" TargetMode="External"/><Relationship Id="rId30" Type="http://schemas.openxmlformats.org/officeDocument/2006/relationships/hyperlink" Target="https://library.mededtech.ru/rest/documents/tp_cshhh/#paragraph_dv9apb" TargetMode="External"/><Relationship Id="rId31" Type="http://schemas.openxmlformats.org/officeDocument/2006/relationships/hyperlink" Target="https://library.mededtech.ru/rest/documents/prikaz747/" TargetMode="External"/><Relationship Id="rId32" Type="http://schemas.openxmlformats.org/officeDocument/2006/relationships/hyperlink" Target="https://library.mededtech.ru/rest/documents/prikaz747/#paragraph_e9kjn1" TargetMode="External"/><Relationship Id="rId33" Type="http://schemas.openxmlformats.org/officeDocument/2006/relationships/hyperlink" Target="https://library.mededtech.ru/rest/documents/prikaz747/#paragraph_9i6t32" TargetMode="External"/><Relationship Id="rId34" Type="http://schemas.openxmlformats.org/officeDocument/2006/relationships/hyperlink" Target="https://library.mededtech.ru/rest/documents/tp_cshhh/#list_item_27mp0j" TargetMode="External"/><Relationship Id="rId35" Type="http://schemas.openxmlformats.org/officeDocument/2006/relationships/hyperlink" Target="https://library.mededtech.ru/rest/documents/tp_cshhh/#list_item_5e485p" TargetMode="External"/><Relationship Id="rId36" Type="http://schemas.openxmlformats.org/officeDocument/2006/relationships/hyperlink" Target="https://library.mededtech.ru/rest/documents/ctrateg2030/" TargetMode="External"/><Relationship Id="rId37" Type="http://schemas.openxmlformats.org/officeDocument/2006/relationships/hyperlink" Target="https://library.mededtech.ru/rest/documents/ctrateg2030/#paragraph_bv1sf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